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305925" cy="700024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93025" y="279875"/>
                          <a:ext cx="9305925" cy="7000240"/>
                          <a:chOff x="693025" y="279875"/>
                          <a:chExt cx="9305950" cy="7000250"/>
                        </a:xfrm>
                      </wpg:grpSpPr>
                      <wpg:grpSp>
                        <wpg:cNvGrpSpPr/>
                        <wpg:grpSpPr>
                          <a:xfrm>
                            <a:off x="693038" y="279880"/>
                            <a:ext cx="9305924" cy="7000240"/>
                            <a:chOff x="0" y="0"/>
                            <a:chExt cx="9305290" cy="70002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305275" cy="700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305290" cy="7000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9305290" cy="6806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305925" cy="70002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5925" cy="700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  <w:sectPr>
          <w:pgSz w:h="12240" w:w="15840" w:orient="landscape"/>
          <w:pgMar w:bottom="360" w:top="720" w:left="720" w:right="27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УСЛОВИЯ ДИСТАНЦИИ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Задача связки пройти от старта до финиша с соблюдением условий дистанции, с использованием последовательности описанных этапов и согласно заявке по тактике.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Старт в пункте STARTS.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Финиш в пункте FINIŠS.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пункты являются скальными полками.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протяжении всей дистанции у связки имеется контрольный груз весом 10 кг.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Допускается посещение пункта В только одним участником.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Допускается пропуск посещения контрольного груза пункта 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спуски на всех этапах являются дюльферами, если в описании этапа не указано иное.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Запрещается страховка более чем через один пункт при движении наверх.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Каждый участник обязан пройти первым какой-нибудь этап подъёма или движения по перилам.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Первый участник на этапах подъёма обеспечивается судейской страховкой, второй верхней командной страховкой.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этапах спуска обоим участникам необходима верхняя командная страховка, если в описании этапа не указано иное.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Финиш отсекается связке, после постановки на самостраховку обоих участников в пункте финиша и освобождения ими от снаряжения всех судейских точек, или объявления потерянным оставленное снаряжение.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Все условия действительны, если в описании этапа не указано другое.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67" w:right="0" w:hanging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ДИСТАНЦИИ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STARTS – А</w:t>
      </w:r>
      <w:r w:rsidDel="00000000" w:rsidR="00000000" w:rsidRPr="00000000">
        <w:rPr>
          <w:b w:val="1"/>
          <w:u w:val="single"/>
          <w:vertAlign w:val="baseline"/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На старте связка самостоятельно организует страховочную станцию с использованием петли и закладных элементов.</w:t>
      </w:r>
    </w:p>
    <w:p w:rsidR="00000000" w:rsidDel="00000000" w:rsidP="00000000" w:rsidRDefault="00000000" w:rsidRPr="00000000" w14:paraId="00000016">
      <w:pPr>
        <w:pageBreakBefore w:val="0"/>
        <w:spacing w:after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Подъем первого участника с самостоятельной организацией 4 пунктов промежуточной страховки.  Подъем второго участника и контрольного груза, согласно выбранной тактике.</w:t>
      </w:r>
    </w:p>
    <w:p w:rsidR="00000000" w:rsidDel="00000000" w:rsidP="00000000" w:rsidRDefault="00000000" w:rsidRPr="00000000" w14:paraId="00000017">
      <w:pPr>
        <w:pageBreakBefore w:val="0"/>
        <w:spacing w:after="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60" w:lineRule="auto"/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Маршрут 1</w:t>
        <w:br w:type="textWrapping"/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А-В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Подъем первого участника с организацией 2 пунктов промежуточной страховки.  Организация маятника.</w:t>
      </w:r>
    </w:p>
    <w:p w:rsidR="00000000" w:rsidDel="00000000" w:rsidP="00000000" w:rsidRDefault="00000000" w:rsidRPr="00000000" w14:paraId="0000001A">
      <w:pPr>
        <w:pageBreakBefore w:val="0"/>
        <w:spacing w:after="60" w:lineRule="auto"/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А-С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Маятниковый переход в пункт С обоих участников и контрольного груза.</w:t>
      </w:r>
    </w:p>
    <w:p w:rsidR="00000000" w:rsidDel="00000000" w:rsidP="00000000" w:rsidRDefault="00000000" w:rsidRPr="00000000" w14:paraId="0000001C">
      <w:pPr>
        <w:pageBreakBefore w:val="0"/>
        <w:spacing w:after="60" w:lineRule="auto"/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Маршрут 2</w:t>
        <w:br w:type="textWrapping"/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А-С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Переход обоих участников и контрольного груза по судейским свободновисящим перилам в пункт С.</w:t>
      </w:r>
    </w:p>
    <w:p w:rsidR="00000000" w:rsidDel="00000000" w:rsidP="00000000" w:rsidRDefault="00000000" w:rsidRPr="00000000" w14:paraId="0000001E">
      <w:pPr>
        <w:pageBreakBefore w:val="0"/>
        <w:spacing w:after="60" w:before="12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С- D</w:t>
      </w:r>
      <w:r w:rsidDel="00000000" w:rsidR="00000000" w:rsidRPr="00000000">
        <w:rPr>
          <w:vertAlign w:val="baseline"/>
          <w:rtl w:val="0"/>
        </w:rPr>
        <w:br w:type="textWrapping"/>
        <w:t xml:space="preserve">Спуск участников и контрольного груза в зону ограничений пункта D.</w:t>
      </w:r>
    </w:p>
    <w:p w:rsidR="00000000" w:rsidDel="00000000" w:rsidP="00000000" w:rsidRDefault="00000000" w:rsidRPr="00000000" w14:paraId="00000020">
      <w:pPr>
        <w:pageBreakBefore w:val="0"/>
        <w:spacing w:after="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 D-Е</w:t>
      </w:r>
      <w:r w:rsidDel="00000000" w:rsidR="00000000" w:rsidRPr="00000000">
        <w:rPr>
          <w:vertAlign w:val="baseline"/>
          <w:rtl w:val="0"/>
        </w:rPr>
        <w:br w:type="textWrapping"/>
        <w:t xml:space="preserve">Подъём первого участника лазанием, с организацией 3 пунктов промежуточной страховки.</w:t>
      </w:r>
    </w:p>
    <w:p w:rsidR="00000000" w:rsidDel="00000000" w:rsidP="00000000" w:rsidRDefault="00000000" w:rsidRPr="00000000" w14:paraId="00000022">
      <w:pPr>
        <w:pageBreakBefore w:val="0"/>
        <w:spacing w:after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Подъем второго участника и контрольного груза, согласно выбранной тактике.</w:t>
      </w:r>
    </w:p>
    <w:p w:rsidR="00000000" w:rsidDel="00000000" w:rsidP="00000000" w:rsidRDefault="00000000" w:rsidRPr="00000000" w14:paraId="00000023">
      <w:pPr>
        <w:pageBreakBefore w:val="0"/>
        <w:spacing w:after="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Подъем первого участника с использованием техники драйтулинга и организацией 2 пунктов промежуточной страховки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. </w:t>
      </w:r>
      <w:r w:rsidDel="00000000" w:rsidR="00000000" w:rsidRPr="00000000">
        <w:rPr>
          <w:vertAlign w:val="baseline"/>
          <w:rtl w:val="0"/>
        </w:rPr>
        <w:t xml:space="preserve">Подъем второго участника и контрольного груза, согласно выбранной тактике.</w:t>
      </w:r>
    </w:p>
    <w:p w:rsidR="00000000" w:rsidDel="00000000" w:rsidP="00000000" w:rsidRDefault="00000000" w:rsidRPr="00000000" w14:paraId="00000026">
      <w:pPr>
        <w:pageBreakBefore w:val="0"/>
        <w:spacing w:after="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ЭТАП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Спуск участников и контрольного груза в зону ограничений пункта D, с самостоятельной организацией страховочной станции. 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67" w:right="0" w:hanging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ИЗМЕНЕНИЯ В ТАБЛИЦЕ ШТРАФОВ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tabs>
          <w:tab w:val="left" w:leader="none" w:pos="0"/>
          <w:tab w:val="left" w:leader="none" w:pos="540"/>
        </w:tabs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Невыполнение условий этапа и условий дистанции – дисквалификация на этапе.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использование вспомогательных петель, лесенок на этапе 5 каждый участник получает 10 баллов штрафа (один раз за этап).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2"/>
        </w:numPr>
        <w:tabs>
          <w:tab w:val="left" w:leader="none" w:pos="540"/>
        </w:tabs>
        <w:spacing w:after="0" w:line="240" w:lineRule="auto"/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Неправильная организация страховочной станции считается как прерывание страховки - 10 штрафных баллов.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tabs>
          <w:tab w:val="left" w:leader="none" w:pos="0"/>
        </w:tabs>
        <w:spacing w:after="0" w:line="240" w:lineRule="auto"/>
        <w:ind w:left="540" w:hanging="54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Полное разрушение </w:t>
      </w:r>
      <w:r w:rsidDel="00000000" w:rsidR="00000000" w:rsidRPr="00000000">
        <w:rPr>
          <w:vertAlign w:val="baseline"/>
          <w:rtl w:val="0"/>
        </w:rPr>
        <w:t xml:space="preserve">страховочной станции – снятие.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67" w:right="0" w:hanging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120" w:lineRule="auto"/>
        <w:ind w:left="56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 10 минут до старта первой связки все связки должны предоставить тактическую схему прохождения дистанции, которая включает в себя: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after="60" w:line="276" w:lineRule="auto"/>
        <w:ind w:left="1281" w:hanging="357"/>
        <w:rPr/>
      </w:pPr>
      <w:r w:rsidDel="00000000" w:rsidR="00000000" w:rsidRPr="00000000">
        <w:rPr>
          <w:vertAlign w:val="baseline"/>
          <w:rtl w:val="0"/>
        </w:rPr>
        <w:t xml:space="preserve">Выбранную последовательность прохождения дистанции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after="120" w:line="276" w:lineRule="auto"/>
        <w:ind w:left="1287" w:hanging="360"/>
        <w:rPr/>
      </w:pPr>
      <w:r w:rsidDel="00000000" w:rsidR="00000000" w:rsidRPr="00000000">
        <w:rPr>
          <w:vertAlign w:val="baseline"/>
          <w:rtl w:val="0"/>
        </w:rPr>
        <w:t xml:space="preserve">номер участника, идущего первым на каждом этапе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after="120" w:line="276" w:lineRule="auto"/>
        <w:ind w:left="1287" w:hanging="360"/>
        <w:rPr/>
      </w:pPr>
      <w:r w:rsidDel="00000000" w:rsidR="00000000" w:rsidRPr="00000000">
        <w:rPr>
          <w:vertAlign w:val="baseline"/>
          <w:rtl w:val="0"/>
        </w:rPr>
        <w:t xml:space="preserve">способы транспортировки контрольного груза на этапах подъёма.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after="120" w:line="276" w:lineRule="auto"/>
        <w:ind w:left="1287" w:hanging="360"/>
        <w:rPr/>
      </w:pPr>
      <w:r w:rsidDel="00000000" w:rsidR="00000000" w:rsidRPr="00000000">
        <w:rPr>
          <w:vertAlign w:val="baseline"/>
          <w:rtl w:val="0"/>
        </w:rPr>
        <w:t xml:space="preserve">Также необходимо указать предполагаемое время прохождения дистанции (в минутах).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567" w:right="0" w:hanging="56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hanging="426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Первое контрольное время: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426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первого участника в пункт А - 7 минут.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hanging="426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Второе контрольное время: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второго участника в пункт D - 15 минут.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hanging="426"/>
        <w:jc w:val="left"/>
        <w:rPr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2240" w:w="15840" w:orient="landscape"/>
          <w:pgMar w:bottom="360" w:top="720" w:left="720" w:right="27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Общее контрольное время: 30 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668"/>
        <w:gridCol w:w="7901"/>
        <w:tblGridChange w:id="0">
          <w:tblGrid>
            <w:gridCol w:w="1668"/>
            <w:gridCol w:w="79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000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Sasaišu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00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tabs>
          <w:tab w:val="left" w:leader="none" w:pos="6000"/>
        </w:tabs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6000"/>
        </w:tabs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TAKTIKAS PIETEIKUMS</w:t>
      </w:r>
      <w:r w:rsidDel="00000000" w:rsidR="00000000" w:rsidRPr="00000000">
        <w:rPr>
          <w:rtl w:val="0"/>
        </w:rPr>
      </w:r>
    </w:p>
    <w:tbl>
      <w:tblPr>
        <w:tblStyle w:val="Table2"/>
        <w:tblW w:w="13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4924"/>
        <w:gridCol w:w="7830"/>
        <w:tblGridChange w:id="0">
          <w:tblGrid>
            <w:gridCol w:w="1101"/>
            <w:gridCol w:w="4924"/>
            <w:gridCol w:w="783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Posms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Taktikas prasības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Sasaišu pieteikums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otrā dalībnieka pārvietošanās veids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kontrolsvāra transportēšanās veids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izvēlēts maršruts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kontrolsvāra transportēšanās veids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otrā dalībnieka pārvietošanās veids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kontrolsvāra transportēšanās veids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otrā dalībnieka pārvietošanās veids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000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kontrolsvāra transportēšanās veids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000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1.dalībnieka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Plānotais distances veikšanas laiks (minūtēs)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000"/>
              </w:tabs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360" w:top="720" w:left="720" w:right="27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cs="Calibri" w:eastAsia="Calibri" w:hAnsi="Calibri"/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